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AA" w:rsidRDefault="00A033AA" w:rsidP="00813E77">
      <w:pPr>
        <w:pStyle w:val="aa"/>
        <w:ind w:left="284" w:firstLine="283"/>
        <w:rPr>
          <w:color w:val="191813"/>
          <w:sz w:val="28"/>
          <w:szCs w:val="28"/>
        </w:rPr>
      </w:pPr>
      <w:r>
        <w:rPr>
          <w:color w:val="191813"/>
          <w:sz w:val="28"/>
          <w:szCs w:val="28"/>
        </w:rPr>
        <w:t>ОБГРУНТУВАННЯ</w:t>
      </w:r>
    </w:p>
    <w:p w:rsidR="00813E77" w:rsidRPr="00E01C3A" w:rsidRDefault="009D7A6C" w:rsidP="00813E77">
      <w:pPr>
        <w:pStyle w:val="aa"/>
        <w:ind w:left="284" w:firstLine="283"/>
        <w:rPr>
          <w:b w:val="0"/>
          <w:sz w:val="28"/>
          <w:szCs w:val="28"/>
        </w:rPr>
      </w:pPr>
      <w:r>
        <w:rPr>
          <w:color w:val="191813"/>
          <w:sz w:val="28"/>
          <w:szCs w:val="28"/>
        </w:rPr>
        <w:t>щ</w:t>
      </w:r>
      <w:r w:rsidR="0086359B">
        <w:rPr>
          <w:color w:val="191813"/>
          <w:sz w:val="28"/>
          <w:szCs w:val="28"/>
        </w:rPr>
        <w:t xml:space="preserve">одо </w:t>
      </w:r>
      <w:r>
        <w:rPr>
          <w:color w:val="191813"/>
          <w:sz w:val="28"/>
          <w:szCs w:val="28"/>
        </w:rPr>
        <w:t xml:space="preserve">необхідності перегляду/встановлення </w:t>
      </w:r>
      <w:r w:rsidR="0086359B">
        <w:rPr>
          <w:color w:val="191813"/>
          <w:sz w:val="28"/>
          <w:szCs w:val="28"/>
        </w:rPr>
        <w:t xml:space="preserve">шляхом коригування </w:t>
      </w:r>
      <w:r>
        <w:rPr>
          <w:color w:val="191813"/>
          <w:sz w:val="28"/>
          <w:szCs w:val="28"/>
        </w:rPr>
        <w:t xml:space="preserve">тарифів </w:t>
      </w:r>
      <w:r w:rsidR="00A033AA" w:rsidRPr="00261B70">
        <w:rPr>
          <w:color w:val="191813"/>
          <w:sz w:val="28"/>
          <w:szCs w:val="28"/>
        </w:rPr>
        <w:t xml:space="preserve">на виробництво теплової енергії </w:t>
      </w:r>
      <w:r>
        <w:rPr>
          <w:color w:val="191813"/>
          <w:sz w:val="28"/>
          <w:szCs w:val="28"/>
        </w:rPr>
        <w:t xml:space="preserve"> на </w:t>
      </w:r>
      <w:r w:rsidR="00A033AA" w:rsidRPr="00261B70">
        <w:rPr>
          <w:color w:val="191813"/>
          <w:sz w:val="28"/>
          <w:szCs w:val="28"/>
        </w:rPr>
        <w:t xml:space="preserve">2019 </w:t>
      </w:r>
      <w:r>
        <w:rPr>
          <w:color w:val="191813"/>
          <w:sz w:val="28"/>
          <w:szCs w:val="28"/>
        </w:rPr>
        <w:t>рік</w:t>
      </w:r>
      <w:r w:rsidR="00A033AA" w:rsidRPr="00261B70">
        <w:rPr>
          <w:color w:val="191813"/>
          <w:sz w:val="28"/>
          <w:szCs w:val="28"/>
        </w:rPr>
        <w:t xml:space="preserve"> за категоріями споживачів</w:t>
      </w:r>
    </w:p>
    <w:p w:rsidR="00A033AA" w:rsidRDefault="00A033AA" w:rsidP="00123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5FB" w:rsidRPr="004374F7" w:rsidRDefault="001235FB" w:rsidP="001235FB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374F7">
        <w:rPr>
          <w:rFonts w:ascii="Times New Roman" w:hAnsi="Times New Roman" w:cs="Times New Roman"/>
          <w:sz w:val="28"/>
          <w:szCs w:val="28"/>
          <w:lang w:val="uk-UA"/>
        </w:rPr>
        <w:t>У відповідності до Закону України «Про ліцензування певних видів господарської діяльності» та «Правил здійснення ліцензованих  видів діяльності» (затверджених Національно</w:t>
      </w:r>
      <w:r w:rsidR="00CE1092" w:rsidRPr="004374F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CE1092" w:rsidRPr="004374F7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>, що здійснює державне регулювання у сферах енергетики та комунальних послуг), підприємство володіє ліцензі</w:t>
      </w:r>
      <w:r w:rsidR="00BF196E" w:rsidRPr="004374F7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на виробництво теплової енергії на </w:t>
      </w:r>
      <w:r w:rsidR="00BF196E" w:rsidRPr="004374F7">
        <w:rPr>
          <w:rFonts w:ascii="Times New Roman" w:hAnsi="Times New Roman" w:cs="Times New Roman"/>
          <w:sz w:val="28"/>
          <w:szCs w:val="28"/>
          <w:lang w:val="uk-UA"/>
        </w:rPr>
        <w:t>теплоелектроцентралях відповідно до рішення НКРЕ</w:t>
      </w:r>
      <w:r w:rsidR="00D47635" w:rsidRPr="004374F7">
        <w:rPr>
          <w:rFonts w:ascii="Times New Roman" w:hAnsi="Times New Roman" w:cs="Times New Roman"/>
          <w:sz w:val="28"/>
          <w:szCs w:val="28"/>
          <w:lang w:val="uk-UA"/>
        </w:rPr>
        <w:t>КП від 2</w:t>
      </w:r>
      <w:r w:rsidR="009D7A6C" w:rsidRPr="004374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196E" w:rsidRPr="004374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A6C" w:rsidRPr="004374F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BF196E" w:rsidRPr="004374F7">
        <w:rPr>
          <w:rFonts w:ascii="Times New Roman" w:hAnsi="Times New Roman" w:cs="Times New Roman"/>
          <w:sz w:val="28"/>
          <w:szCs w:val="28"/>
          <w:lang w:val="uk-UA"/>
        </w:rPr>
        <w:t>.2016 року №</w:t>
      </w:r>
      <w:r w:rsidR="00D47635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9B" w:rsidRPr="004374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7A6C" w:rsidRPr="004374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359B" w:rsidRPr="004374F7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270587" w:rsidRPr="004374F7" w:rsidRDefault="00270587" w:rsidP="00FB2F93">
      <w:pPr>
        <w:ind w:firstLine="709"/>
        <w:jc w:val="both"/>
        <w:rPr>
          <w:sz w:val="28"/>
          <w:szCs w:val="28"/>
          <w:lang w:val="uk-UA"/>
        </w:rPr>
      </w:pP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Тарифи на </w:t>
      </w:r>
      <w:r w:rsidR="00E42E4E" w:rsidRPr="004374F7">
        <w:rPr>
          <w:rFonts w:ascii="Times New Roman" w:hAnsi="Times New Roman" w:cs="Times New Roman"/>
          <w:sz w:val="28"/>
          <w:szCs w:val="28"/>
          <w:lang w:val="uk-UA"/>
        </w:rPr>
        <w:t>відпуск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електричної та виробництво теплової енергії  </w:t>
      </w:r>
      <w:r w:rsidR="000B5F8A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D7A6C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ТОВ «ЄВРО-РЕКОНСТРУКЦІЯ»  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25055E" w:rsidRPr="004374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B5F8A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розраховані,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B5F8A" w:rsidRPr="004374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Методики формування, розрахунку та встановлення тарифів на електричну та (або) теплову енергію, що виробляється на ТЕЦ, ТЕС та </w:t>
      </w:r>
      <w:proofErr w:type="spellStart"/>
      <w:r w:rsidRPr="004374F7">
        <w:rPr>
          <w:rFonts w:ascii="Times New Roman" w:hAnsi="Times New Roman" w:cs="Times New Roman"/>
          <w:sz w:val="28"/>
          <w:szCs w:val="28"/>
          <w:lang w:val="uk-UA"/>
        </w:rPr>
        <w:t>когенераційних</w:t>
      </w:r>
      <w:proofErr w:type="spellEnd"/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установках</w:t>
      </w:r>
      <w:r w:rsidR="000B5F8A" w:rsidRPr="004374F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постановою </w:t>
      </w:r>
      <w:r w:rsidR="000B5F8A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НКРЕКП від 01.08.2017 року №991та </w:t>
      </w:r>
      <w:r w:rsidRPr="00437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Національної комісії, що здійснює державне регулювання у сферах енергетики та комунальних послуг України від 30.06.2017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послуг"</w:t>
      </w:r>
      <w:r w:rsidR="009D7A6C" w:rsidRPr="00437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затвердженн</w:t>
      </w:r>
      <w:r w:rsidR="00E01C3A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 </w:t>
      </w:r>
      <w:r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Постановою Н</w:t>
      </w:r>
      <w:r w:rsidR="00E01C3A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КРЕКП від </w:t>
      </w:r>
      <w:r w:rsidR="0025055E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9D7A6C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E01C3A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.12.201</w:t>
      </w:r>
      <w:r w:rsidR="0025055E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 </w:t>
      </w:r>
      <w:r w:rsidR="00E01C3A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року №</w:t>
      </w:r>
      <w:r w:rsidR="009D7A6C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1817</w:t>
      </w:r>
      <w:r w:rsidR="0074565D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8654E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(із змінами та доповненнями)</w:t>
      </w:r>
      <w:r w:rsidR="00FB2F93" w:rsidRPr="004374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C762DA" w:rsidRPr="004374F7" w:rsidRDefault="009107AB" w:rsidP="00C762DA">
      <w:pPr>
        <w:pStyle w:val="2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4374F7">
        <w:rPr>
          <w:sz w:val="28"/>
          <w:szCs w:val="28"/>
          <w:lang w:val="uk-UA"/>
        </w:rPr>
        <w:t xml:space="preserve">У відповідності до пунктів 4.10 </w:t>
      </w:r>
      <w:r w:rsidR="00C762DA" w:rsidRPr="004374F7">
        <w:rPr>
          <w:sz w:val="28"/>
          <w:szCs w:val="28"/>
          <w:lang w:val="uk-UA"/>
        </w:rPr>
        <w:t xml:space="preserve">-4.11 постанови НКРЕКП від  01.08.2017 року №991 зміна тарифів може бути ініційована ліцензіатом </w:t>
      </w:r>
      <w:r w:rsidRPr="004374F7">
        <w:rPr>
          <w:sz w:val="28"/>
          <w:szCs w:val="28"/>
          <w:lang w:val="uk-UA"/>
        </w:rPr>
        <w:t xml:space="preserve">через </w:t>
      </w:r>
      <w:r w:rsidR="00C762DA" w:rsidRPr="004374F7">
        <w:rPr>
          <w:sz w:val="28"/>
          <w:szCs w:val="28"/>
          <w:lang w:val="uk-UA"/>
        </w:rPr>
        <w:t>обставин</w:t>
      </w:r>
      <w:r w:rsidRPr="004374F7">
        <w:rPr>
          <w:sz w:val="28"/>
          <w:szCs w:val="28"/>
          <w:lang w:val="uk-UA"/>
        </w:rPr>
        <w:t>и</w:t>
      </w:r>
      <w:r w:rsidR="00C762DA" w:rsidRPr="004374F7">
        <w:rPr>
          <w:sz w:val="28"/>
          <w:szCs w:val="28"/>
          <w:lang w:val="uk-UA"/>
        </w:rPr>
        <w:t>, що впливають або можуть вплинути на результати діяльності ліцензіата в період регулювання за умов:</w:t>
      </w:r>
    </w:p>
    <w:p w:rsidR="00C762DA" w:rsidRPr="004374F7" w:rsidRDefault="00C762DA" w:rsidP="00C762DA">
      <w:pPr>
        <w:pStyle w:val="2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4374F7">
        <w:rPr>
          <w:sz w:val="28"/>
          <w:szCs w:val="28"/>
          <w:lang w:val="uk-UA"/>
        </w:rPr>
        <w:t>зміна обсягу планової річної товарної продукції більше ніж на 3%:</w:t>
      </w:r>
    </w:p>
    <w:p w:rsidR="00C762DA" w:rsidRPr="004374F7" w:rsidRDefault="00C762DA" w:rsidP="00C762DA">
      <w:pPr>
        <w:pStyle w:val="2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4374F7">
        <w:rPr>
          <w:sz w:val="28"/>
          <w:szCs w:val="28"/>
          <w:lang w:val="uk-UA"/>
        </w:rPr>
        <w:t>зміна законодавчої бази, що впливає на розрахунки тарифів</w:t>
      </w:r>
      <w:r w:rsidR="0068654E" w:rsidRPr="004374F7">
        <w:rPr>
          <w:sz w:val="28"/>
          <w:szCs w:val="28"/>
          <w:lang w:val="uk-UA"/>
        </w:rPr>
        <w:t>.</w:t>
      </w:r>
    </w:p>
    <w:p w:rsidR="00C762DA" w:rsidRPr="004374F7" w:rsidRDefault="009107AB" w:rsidP="00C76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r w:rsidRPr="004374F7">
        <w:rPr>
          <w:b/>
          <w:sz w:val="28"/>
          <w:szCs w:val="28"/>
          <w:lang w:val="uk-UA"/>
        </w:rPr>
        <w:t>Т</w:t>
      </w:r>
      <w:r w:rsidR="0068654E" w:rsidRPr="004374F7">
        <w:rPr>
          <w:b/>
          <w:sz w:val="28"/>
          <w:szCs w:val="28"/>
          <w:lang w:val="uk-UA"/>
        </w:rPr>
        <w:t>акож</w:t>
      </w:r>
      <w:r w:rsidR="00E36DA4" w:rsidRPr="004374F7">
        <w:rPr>
          <w:b/>
          <w:sz w:val="28"/>
          <w:szCs w:val="28"/>
          <w:lang w:val="uk-UA"/>
        </w:rPr>
        <w:t>,</w:t>
      </w:r>
      <w:r w:rsidRPr="004374F7">
        <w:rPr>
          <w:b/>
          <w:sz w:val="28"/>
          <w:szCs w:val="28"/>
          <w:lang w:val="uk-UA"/>
        </w:rPr>
        <w:t xml:space="preserve"> відповідно до п.3.3.</w:t>
      </w:r>
      <w:r w:rsidR="0068654E" w:rsidRPr="004374F7">
        <w:rPr>
          <w:b/>
          <w:sz w:val="28"/>
          <w:szCs w:val="28"/>
          <w:lang w:val="uk-UA"/>
        </w:rPr>
        <w:t xml:space="preserve"> «</w:t>
      </w:r>
      <w:r w:rsidR="0068654E" w:rsidRPr="004374F7">
        <w:rPr>
          <w:sz w:val="28"/>
          <w:szCs w:val="28"/>
          <w:lang w:val="uk-UA"/>
        </w:rPr>
        <w:t xml:space="preserve">Методики формування, розрахунку та встановлення тарифів на електричну та (або) теплову енергію, що виробляється на ТЕЦ, ТЕС та </w:t>
      </w:r>
      <w:proofErr w:type="spellStart"/>
      <w:r w:rsidR="0068654E" w:rsidRPr="004374F7">
        <w:rPr>
          <w:sz w:val="28"/>
          <w:szCs w:val="28"/>
          <w:lang w:val="uk-UA"/>
        </w:rPr>
        <w:t>когенераційних</w:t>
      </w:r>
      <w:proofErr w:type="spellEnd"/>
      <w:r w:rsidR="0068654E" w:rsidRPr="004374F7">
        <w:rPr>
          <w:sz w:val="28"/>
          <w:szCs w:val="28"/>
          <w:lang w:val="uk-UA"/>
        </w:rPr>
        <w:t xml:space="preserve"> установках» - «</w:t>
      </w:r>
      <w:r w:rsidR="0068654E" w:rsidRPr="004374F7">
        <w:rPr>
          <w:b/>
          <w:i/>
          <w:sz w:val="28"/>
          <w:szCs w:val="28"/>
          <w:lang w:val="uk-UA"/>
        </w:rPr>
        <w:t>у розрахунках тарифів можуть враховуватися ціни на паливно-енергетичні ресурси, що затверджуються</w:t>
      </w:r>
      <w:r w:rsidR="00E36DA4" w:rsidRPr="004374F7">
        <w:rPr>
          <w:b/>
          <w:i/>
          <w:sz w:val="28"/>
          <w:szCs w:val="28"/>
          <w:lang w:val="uk-UA"/>
        </w:rPr>
        <w:t>, в</w:t>
      </w:r>
      <w:r w:rsidR="0068654E" w:rsidRPr="004374F7">
        <w:rPr>
          <w:b/>
          <w:i/>
          <w:sz w:val="28"/>
          <w:szCs w:val="28"/>
          <w:lang w:val="uk-UA"/>
        </w:rPr>
        <w:t>становлюються чи оприлюднюються державними органами влади відповідно до чинного законодавства України</w:t>
      </w:r>
      <w:r w:rsidR="0068654E" w:rsidRPr="004374F7">
        <w:rPr>
          <w:sz w:val="28"/>
          <w:szCs w:val="28"/>
          <w:lang w:val="uk-UA"/>
        </w:rPr>
        <w:t>».</w:t>
      </w:r>
    </w:p>
    <w:p w:rsidR="00C762DA" w:rsidRPr="004374F7" w:rsidRDefault="00DA63AA" w:rsidP="00C76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374F7">
        <w:rPr>
          <w:b/>
          <w:sz w:val="28"/>
          <w:szCs w:val="28"/>
          <w:lang w:val="uk-UA"/>
        </w:rPr>
        <w:t xml:space="preserve">З </w:t>
      </w:r>
      <w:r w:rsidR="0068654E" w:rsidRPr="004374F7">
        <w:rPr>
          <w:b/>
          <w:sz w:val="28"/>
          <w:szCs w:val="28"/>
          <w:lang w:val="uk-UA"/>
        </w:rPr>
        <w:t>0</w:t>
      </w:r>
      <w:r w:rsidRPr="004374F7">
        <w:rPr>
          <w:b/>
          <w:sz w:val="28"/>
          <w:szCs w:val="28"/>
          <w:lang w:val="uk-UA"/>
        </w:rPr>
        <w:t>1.</w:t>
      </w:r>
      <w:r w:rsidR="0068654E" w:rsidRPr="004374F7">
        <w:rPr>
          <w:b/>
          <w:sz w:val="28"/>
          <w:szCs w:val="28"/>
          <w:lang w:val="uk-UA"/>
        </w:rPr>
        <w:t>11</w:t>
      </w:r>
      <w:r w:rsidRPr="004374F7">
        <w:rPr>
          <w:b/>
          <w:sz w:val="28"/>
          <w:szCs w:val="28"/>
          <w:lang w:val="uk-UA"/>
        </w:rPr>
        <w:t>.201</w:t>
      </w:r>
      <w:r w:rsidR="00C762DA" w:rsidRPr="004374F7">
        <w:rPr>
          <w:b/>
          <w:sz w:val="28"/>
          <w:szCs w:val="28"/>
          <w:lang w:val="uk-UA"/>
        </w:rPr>
        <w:t>9</w:t>
      </w:r>
      <w:r w:rsidRPr="004374F7">
        <w:rPr>
          <w:b/>
          <w:sz w:val="28"/>
          <w:szCs w:val="28"/>
          <w:lang w:val="uk-UA"/>
        </w:rPr>
        <w:t xml:space="preserve"> року</w:t>
      </w:r>
      <w:r w:rsidR="009D7A6C" w:rsidRPr="004374F7">
        <w:rPr>
          <w:b/>
          <w:sz w:val="28"/>
          <w:szCs w:val="28"/>
          <w:lang w:val="uk-UA"/>
        </w:rPr>
        <w:t xml:space="preserve"> ТОВ «ЄВРО-РЕКОНСТРУКЦІЯ»</w:t>
      </w:r>
      <w:r w:rsidR="00362EC3" w:rsidRPr="004374F7">
        <w:rPr>
          <w:b/>
          <w:sz w:val="28"/>
          <w:szCs w:val="28"/>
          <w:lang w:val="uk-UA"/>
        </w:rPr>
        <w:t>, ініціює</w:t>
      </w:r>
      <w:r w:rsidR="00806BE2" w:rsidRPr="004374F7">
        <w:rPr>
          <w:b/>
          <w:sz w:val="28"/>
          <w:szCs w:val="28"/>
          <w:lang w:val="uk-UA"/>
        </w:rPr>
        <w:t xml:space="preserve"> перегляд/встановлення</w:t>
      </w:r>
      <w:r w:rsidR="00DB70E1" w:rsidRPr="004374F7">
        <w:rPr>
          <w:b/>
          <w:sz w:val="28"/>
          <w:szCs w:val="28"/>
          <w:lang w:val="uk-UA"/>
        </w:rPr>
        <w:t xml:space="preserve"> шляхом коригування</w:t>
      </w:r>
      <w:r w:rsidR="00806BE2" w:rsidRPr="004374F7">
        <w:rPr>
          <w:b/>
          <w:sz w:val="28"/>
          <w:szCs w:val="28"/>
          <w:lang w:val="uk-UA"/>
        </w:rPr>
        <w:t xml:space="preserve"> тарифів</w:t>
      </w:r>
      <w:r w:rsidR="009107AB" w:rsidRPr="004374F7">
        <w:rPr>
          <w:b/>
          <w:sz w:val="28"/>
          <w:szCs w:val="28"/>
          <w:lang w:val="uk-UA"/>
        </w:rPr>
        <w:t xml:space="preserve"> на</w:t>
      </w:r>
      <w:r w:rsidR="009D7A6C" w:rsidRPr="004374F7">
        <w:rPr>
          <w:b/>
          <w:sz w:val="28"/>
          <w:szCs w:val="28"/>
          <w:lang w:val="uk-UA"/>
        </w:rPr>
        <w:t xml:space="preserve"> </w:t>
      </w:r>
      <w:r w:rsidR="00C762DA" w:rsidRPr="004374F7">
        <w:rPr>
          <w:b/>
          <w:sz w:val="28"/>
          <w:szCs w:val="28"/>
          <w:lang w:val="uk-UA"/>
        </w:rPr>
        <w:t xml:space="preserve">виробництво </w:t>
      </w:r>
      <w:r w:rsidR="00806BE2" w:rsidRPr="004374F7">
        <w:rPr>
          <w:b/>
          <w:sz w:val="28"/>
          <w:szCs w:val="28"/>
          <w:lang w:val="uk-UA"/>
        </w:rPr>
        <w:t xml:space="preserve">теплової енергії  </w:t>
      </w:r>
      <w:r w:rsidR="00C762DA" w:rsidRPr="004374F7">
        <w:rPr>
          <w:b/>
          <w:sz w:val="28"/>
          <w:szCs w:val="28"/>
          <w:lang w:val="uk-UA"/>
        </w:rPr>
        <w:t xml:space="preserve">з врахуванням </w:t>
      </w:r>
      <w:r w:rsidR="00E36DA4" w:rsidRPr="004374F7">
        <w:rPr>
          <w:b/>
          <w:sz w:val="28"/>
          <w:szCs w:val="28"/>
          <w:lang w:val="uk-UA"/>
        </w:rPr>
        <w:t>моніторингу ці</w:t>
      </w:r>
      <w:r w:rsidR="00BF196E" w:rsidRPr="004374F7">
        <w:rPr>
          <w:b/>
          <w:sz w:val="28"/>
          <w:szCs w:val="28"/>
          <w:lang w:val="uk-UA"/>
        </w:rPr>
        <w:t xml:space="preserve">н на вугільну продукцію марки </w:t>
      </w:r>
      <w:r w:rsidR="009D7A6C" w:rsidRPr="004374F7">
        <w:rPr>
          <w:b/>
          <w:sz w:val="28"/>
          <w:szCs w:val="28"/>
          <w:lang w:val="uk-UA"/>
        </w:rPr>
        <w:t>АШ</w:t>
      </w:r>
      <w:r w:rsidR="00BF196E" w:rsidRPr="004374F7">
        <w:rPr>
          <w:b/>
          <w:sz w:val="28"/>
          <w:szCs w:val="28"/>
          <w:lang w:val="uk-UA"/>
        </w:rPr>
        <w:t>.</w:t>
      </w:r>
    </w:p>
    <w:p w:rsidR="00024051" w:rsidRPr="004374F7" w:rsidRDefault="00024051" w:rsidP="00C762D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r w:rsidRPr="004374F7">
        <w:rPr>
          <w:sz w:val="28"/>
          <w:szCs w:val="28"/>
          <w:lang w:val="uk-UA"/>
        </w:rPr>
        <w:lastRenderedPageBreak/>
        <w:t xml:space="preserve">Основним чинником перегляду/зміни </w:t>
      </w:r>
      <w:r w:rsidR="00E36DA4" w:rsidRPr="004374F7">
        <w:rPr>
          <w:sz w:val="28"/>
          <w:szCs w:val="28"/>
          <w:lang w:val="uk-UA"/>
        </w:rPr>
        <w:t xml:space="preserve">шляхом коригування тарифів </w:t>
      </w:r>
      <w:r w:rsidRPr="004374F7">
        <w:rPr>
          <w:sz w:val="28"/>
          <w:szCs w:val="28"/>
          <w:lang w:val="uk-UA"/>
        </w:rPr>
        <w:t xml:space="preserve"> на виробництво теплової енергії за категоріями споживачів є:</w:t>
      </w:r>
    </w:p>
    <w:p w:rsidR="00C762DA" w:rsidRPr="004374F7" w:rsidRDefault="00E36DA4" w:rsidP="00C762DA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4374F7">
        <w:rPr>
          <w:rFonts w:ascii="Times New Roman" w:hAnsi="Times New Roman"/>
          <w:sz w:val="28"/>
          <w:szCs w:val="28"/>
          <w:lang w:val="uk-UA"/>
        </w:rPr>
        <w:t>зміна ціни вугілля, відповідно до ринкових цін, які</w:t>
      </w:r>
      <w:r w:rsidR="00BF196E" w:rsidRPr="004374F7">
        <w:rPr>
          <w:rFonts w:ascii="Times New Roman" w:hAnsi="Times New Roman"/>
          <w:sz w:val="28"/>
          <w:szCs w:val="28"/>
          <w:lang w:val="uk-UA"/>
        </w:rPr>
        <w:t xml:space="preserve"> склалися </w:t>
      </w:r>
      <w:r w:rsidRPr="004374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F196E" w:rsidRPr="004374F7">
        <w:rPr>
          <w:rFonts w:ascii="Times New Roman" w:hAnsi="Times New Roman"/>
          <w:sz w:val="28"/>
          <w:szCs w:val="28"/>
          <w:lang w:val="uk-UA"/>
        </w:rPr>
        <w:t>вугільному «ринку» України.</w:t>
      </w:r>
    </w:p>
    <w:p w:rsidR="00E36DA4" w:rsidRPr="004374F7" w:rsidRDefault="00E36DA4" w:rsidP="00E97243">
      <w:pPr>
        <w:ind w:firstLine="709"/>
        <w:jc w:val="both"/>
        <w:rPr>
          <w:sz w:val="28"/>
          <w:szCs w:val="28"/>
          <w:lang w:val="uk-UA"/>
        </w:rPr>
      </w:pPr>
      <w:r w:rsidRPr="004374F7">
        <w:rPr>
          <w:rFonts w:ascii="Times New Roman" w:hAnsi="Times New Roman" w:cs="Times New Roman"/>
          <w:b/>
          <w:sz w:val="28"/>
          <w:szCs w:val="28"/>
          <w:lang w:val="uk-UA"/>
        </w:rPr>
        <w:t>Крім того, відповідно до п.3.3.</w:t>
      </w:r>
      <w:r w:rsidRPr="004374F7">
        <w:rPr>
          <w:b/>
          <w:sz w:val="28"/>
          <w:szCs w:val="28"/>
          <w:lang w:val="uk-UA"/>
        </w:rPr>
        <w:t xml:space="preserve"> «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Методики формування, розрахунку та встановлення тарифів на електричну та (або) теплову енергію, що виробляється на ТЕЦ, ТЕС та </w:t>
      </w:r>
      <w:proofErr w:type="spellStart"/>
      <w:r w:rsidRPr="004374F7">
        <w:rPr>
          <w:rFonts w:ascii="Times New Roman" w:hAnsi="Times New Roman" w:cs="Times New Roman"/>
          <w:sz w:val="28"/>
          <w:szCs w:val="28"/>
          <w:lang w:val="uk-UA"/>
        </w:rPr>
        <w:t>когенераційних</w:t>
      </w:r>
      <w:proofErr w:type="spellEnd"/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установках»</w:t>
      </w:r>
      <w:r w:rsidRPr="004374F7">
        <w:rPr>
          <w:sz w:val="28"/>
          <w:szCs w:val="28"/>
          <w:lang w:val="uk-UA"/>
        </w:rPr>
        <w:t xml:space="preserve"> -                                         «</w:t>
      </w:r>
      <w:r w:rsidRPr="004374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результати моніторингу ринків у сферах енергетики та комунальних послуг, що здійснюється НКРЕКП </w:t>
      </w:r>
      <w:r w:rsidR="00D37D99" w:rsidRPr="004374F7">
        <w:rPr>
          <w:rFonts w:ascii="Times New Roman" w:hAnsi="Times New Roman" w:cs="Times New Roman"/>
          <w:b/>
          <w:i/>
          <w:sz w:val="28"/>
          <w:szCs w:val="28"/>
          <w:lang w:val="uk-UA"/>
        </w:rPr>
        <w:t>щоквартально, НКРЕКП може прийняти рішення щодо зміни цін на паливно-енергетичні ресурси у структурі тарифів на виробництво теплової енергії</w:t>
      </w:r>
      <w:r w:rsidRPr="004374F7">
        <w:rPr>
          <w:sz w:val="28"/>
          <w:szCs w:val="28"/>
          <w:lang w:val="uk-UA"/>
        </w:rPr>
        <w:t>».</w:t>
      </w:r>
    </w:p>
    <w:p w:rsidR="00D37D99" w:rsidRPr="004374F7" w:rsidRDefault="00D37D99" w:rsidP="00E972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Перерахунок /зміна паливної в складової з 01.11.2019 року по ціні вугілля </w:t>
      </w:r>
      <w:r w:rsidR="009D7A6C" w:rsidRPr="004374F7">
        <w:rPr>
          <w:rFonts w:ascii="Times New Roman" w:hAnsi="Times New Roman" w:cs="Times New Roman"/>
          <w:sz w:val="28"/>
          <w:szCs w:val="28"/>
          <w:lang w:val="uk-UA"/>
        </w:rPr>
        <w:t>2125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грн./тонну (без врахування залізничних перевезень) здійснена на виробничу програму за період з 01.11.2019 по 31.12.2019 року. </w:t>
      </w:r>
    </w:p>
    <w:p w:rsidR="00BC3DD6" w:rsidRPr="004374F7" w:rsidRDefault="00BC3DD6" w:rsidP="00BC3D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4F7">
        <w:rPr>
          <w:rFonts w:ascii="Times New Roman" w:hAnsi="Times New Roman"/>
          <w:b/>
          <w:sz w:val="28"/>
          <w:szCs w:val="28"/>
          <w:lang w:val="uk-UA"/>
        </w:rPr>
        <w:t xml:space="preserve">З врахуванням змін, які ініційовані до внесення, розрахункові тарифи на виробництво теплової енергії з 01.11.2019 року наведенні в таблиці 1: </w:t>
      </w:r>
    </w:p>
    <w:p w:rsidR="00BC3DD6" w:rsidRPr="004374F7" w:rsidRDefault="00BC3DD6" w:rsidP="00BC3DD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374F7">
        <w:rPr>
          <w:rFonts w:ascii="Times New Roman" w:hAnsi="Times New Roman"/>
          <w:b/>
          <w:sz w:val="24"/>
          <w:szCs w:val="24"/>
          <w:lang w:val="uk-UA"/>
        </w:rPr>
        <w:t>Таблиця 1</w:t>
      </w:r>
    </w:p>
    <w:p w:rsidR="00BC3DD6" w:rsidRPr="004374F7" w:rsidRDefault="00BC3DD6" w:rsidP="00BC3D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1418"/>
        <w:gridCol w:w="1276"/>
        <w:gridCol w:w="1275"/>
      </w:tblGrid>
      <w:tr w:rsidR="004374F7" w:rsidRPr="004374F7" w:rsidTr="00DC06A4">
        <w:trPr>
          <w:trHeight w:val="20"/>
        </w:trPr>
        <w:tc>
          <w:tcPr>
            <w:tcW w:w="2802" w:type="dxa"/>
            <w:vMerge w:val="restart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1275" w:type="dxa"/>
            <w:vMerge w:val="restart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Один. </w:t>
            </w:r>
            <w:proofErr w:type="spellStart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вим</w:t>
            </w:r>
            <w:proofErr w:type="spellEnd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Діючі тарифи з 01.01.2019 року, (без ПДВ)     </w:t>
            </w:r>
            <w:r w:rsidRPr="004374F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(Постанова НКРЕКП від 11.12.18 р. №1817)</w:t>
            </w: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418" w:type="dxa"/>
            <w:vMerge w:val="restart"/>
          </w:tcPr>
          <w:p w:rsidR="00BC3DD6" w:rsidRPr="004374F7" w:rsidRDefault="00BC3DD6" w:rsidP="00DC06A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Розрахункові тарифи з 01.11.2019 року, </w:t>
            </w:r>
          </w:p>
        </w:tc>
        <w:tc>
          <w:tcPr>
            <w:tcW w:w="2551" w:type="dxa"/>
            <w:gridSpan w:val="2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Відхилення </w:t>
            </w:r>
          </w:p>
        </w:tc>
      </w:tr>
      <w:tr w:rsidR="004374F7" w:rsidRPr="004374F7" w:rsidTr="00DC06A4">
        <w:trPr>
          <w:trHeight w:val="892"/>
        </w:trPr>
        <w:tc>
          <w:tcPr>
            <w:tcW w:w="2802" w:type="dxa"/>
            <w:vMerge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абсолютне, </w:t>
            </w:r>
            <w:proofErr w:type="spellStart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коп</w:t>
            </w:r>
            <w:proofErr w:type="spellEnd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кВт.г</w:t>
            </w:r>
            <w:proofErr w:type="spellEnd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;</w:t>
            </w:r>
          </w:p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грн./</w:t>
            </w:r>
            <w:proofErr w:type="spellStart"/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275" w:type="dxa"/>
          </w:tcPr>
          <w:p w:rsidR="00BC3DD6" w:rsidRPr="004374F7" w:rsidRDefault="00BC3DD6" w:rsidP="00DC06A4">
            <w:pPr>
              <w:tabs>
                <w:tab w:val="left" w:pos="2094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відносне, %</w:t>
            </w:r>
          </w:p>
        </w:tc>
      </w:tr>
      <w:tr w:rsidR="004374F7" w:rsidRPr="004374F7" w:rsidTr="00DC06A4">
        <w:trPr>
          <w:trHeight w:val="931"/>
        </w:trPr>
        <w:tc>
          <w:tcPr>
            <w:tcW w:w="2802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Виробництво теплоенергії 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населення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701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835,88</w:t>
            </w:r>
          </w:p>
        </w:tc>
        <w:tc>
          <w:tcPr>
            <w:tcW w:w="1418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336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3,20</w:t>
            </w:r>
          </w:p>
        </w:tc>
        <w:tc>
          <w:tcPr>
            <w:tcW w:w="1276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68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688B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4374F7" w:rsidRPr="004374F7" w:rsidTr="00DC06A4">
        <w:trPr>
          <w:trHeight w:val="346"/>
        </w:trPr>
        <w:tc>
          <w:tcPr>
            <w:tcW w:w="2802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Виробництво теплоенергії для 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DC06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701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895,16</w:t>
            </w:r>
          </w:p>
        </w:tc>
        <w:tc>
          <w:tcPr>
            <w:tcW w:w="1418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336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1,19</w:t>
            </w:r>
          </w:p>
        </w:tc>
        <w:tc>
          <w:tcPr>
            <w:tcW w:w="1276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-63,97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688B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4374F7" w:rsidRPr="004374F7" w:rsidTr="00DC06A4">
        <w:trPr>
          <w:trHeight w:val="20"/>
        </w:trPr>
        <w:tc>
          <w:tcPr>
            <w:tcW w:w="2802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Виробництво теплоенергії для 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релігійних організацій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DC06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701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872,04</w:t>
            </w:r>
          </w:p>
        </w:tc>
        <w:tc>
          <w:tcPr>
            <w:tcW w:w="1418" w:type="dxa"/>
            <w:vAlign w:val="center"/>
          </w:tcPr>
          <w:p w:rsidR="00BC3DD6" w:rsidRPr="004374F7" w:rsidRDefault="0033688B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  <w:r w:rsidR="00BC3DD6"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7,84</w:t>
            </w:r>
          </w:p>
        </w:tc>
        <w:tc>
          <w:tcPr>
            <w:tcW w:w="1276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68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688B"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bookmarkStart w:id="0" w:name="_GoBack"/>
        <w:bookmarkEnd w:id="0"/>
      </w:tr>
      <w:tr w:rsidR="00BC3DD6" w:rsidRPr="004374F7" w:rsidTr="00DC06A4">
        <w:trPr>
          <w:trHeight w:val="20"/>
        </w:trPr>
        <w:tc>
          <w:tcPr>
            <w:tcW w:w="2802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Виробництво теплоенергії  для 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275" w:type="dxa"/>
            <w:vAlign w:val="center"/>
          </w:tcPr>
          <w:p w:rsidR="00BC3DD6" w:rsidRPr="004374F7" w:rsidRDefault="00BC3DD6" w:rsidP="00DC06A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4374F7">
              <w:rPr>
                <w:rFonts w:ascii="Times New Roman" w:hAnsi="Times New Roman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701" w:type="dxa"/>
            <w:vAlign w:val="center"/>
          </w:tcPr>
          <w:p w:rsidR="00BC3DD6" w:rsidRPr="004374F7" w:rsidRDefault="00BC3DD6" w:rsidP="00DC06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879,98</w:t>
            </w:r>
          </w:p>
        </w:tc>
        <w:tc>
          <w:tcPr>
            <w:tcW w:w="1418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336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4374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7,10</w:t>
            </w:r>
          </w:p>
        </w:tc>
        <w:tc>
          <w:tcPr>
            <w:tcW w:w="1276" w:type="dxa"/>
            <w:vAlign w:val="center"/>
          </w:tcPr>
          <w:p w:rsidR="00BC3DD6" w:rsidRPr="004374F7" w:rsidRDefault="00BC3DD6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68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374F7">
              <w:rPr>
                <w:rFonts w:ascii="Times New Roman" w:hAnsi="Times New Roman"/>
                <w:sz w:val="24"/>
                <w:szCs w:val="24"/>
                <w:lang w:val="uk-UA"/>
              </w:rPr>
              <w:t>2,88</w:t>
            </w:r>
          </w:p>
        </w:tc>
        <w:tc>
          <w:tcPr>
            <w:tcW w:w="1275" w:type="dxa"/>
            <w:vAlign w:val="center"/>
          </w:tcPr>
          <w:p w:rsidR="00BC3DD6" w:rsidRPr="004374F7" w:rsidRDefault="0033688B" w:rsidP="003368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-7,1%</w:t>
            </w:r>
          </w:p>
        </w:tc>
      </w:tr>
    </w:tbl>
    <w:p w:rsidR="00BC3DD6" w:rsidRPr="004374F7" w:rsidRDefault="00BC3DD6" w:rsidP="00FB2F9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7711E" w:rsidRPr="004374F7" w:rsidRDefault="0027711E" w:rsidP="00CD5568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74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Висновки:</w:t>
      </w:r>
    </w:p>
    <w:p w:rsidR="00CD5568" w:rsidRPr="004374F7" w:rsidRDefault="0027711E" w:rsidP="0002405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      основн</w:t>
      </w:r>
      <w:r w:rsidR="00024051" w:rsidRPr="004374F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 w:rsidR="00024051" w:rsidRPr="004374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033AA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568" w:rsidRPr="004374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міни та </w:t>
      </w:r>
      <w:r w:rsidR="00024051" w:rsidRPr="004374F7">
        <w:rPr>
          <w:rFonts w:ascii="Times New Roman" w:hAnsi="Times New Roman" w:cs="Times New Roman"/>
          <w:sz w:val="28"/>
          <w:szCs w:val="28"/>
          <w:lang w:val="uk-UA"/>
        </w:rPr>
        <w:t>перегляду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тарифів </w:t>
      </w:r>
      <w:r w:rsidR="00745E78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на виробництво теплової енергії </w:t>
      </w:r>
      <w:r w:rsidR="00CE1092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45E78" w:rsidRPr="004374F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E1092" w:rsidRPr="004374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45E78" w:rsidRPr="004374F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E1092" w:rsidRPr="004374F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E78" w:rsidRPr="004374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E1092"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374F7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</w:t>
      </w:r>
      <w:r w:rsidR="00024051" w:rsidRPr="004374F7">
        <w:rPr>
          <w:rFonts w:ascii="Times New Roman" w:hAnsi="Times New Roman" w:cs="Times New Roman"/>
          <w:sz w:val="28"/>
          <w:szCs w:val="28"/>
          <w:lang w:val="uk-UA"/>
        </w:rPr>
        <w:t>є приведення у відповідність вартості паливної складової відповідно до чин</w:t>
      </w:r>
      <w:r w:rsidR="007F07C2" w:rsidRPr="004374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051" w:rsidRPr="004374F7">
        <w:rPr>
          <w:rFonts w:ascii="Times New Roman" w:hAnsi="Times New Roman" w:cs="Times New Roman"/>
          <w:sz w:val="28"/>
          <w:szCs w:val="28"/>
          <w:lang w:val="uk-UA"/>
        </w:rPr>
        <w:t>ого законодавства.</w:t>
      </w:r>
    </w:p>
    <w:p w:rsidR="0027711E" w:rsidRPr="00FB2F93" w:rsidRDefault="0027711E" w:rsidP="00CD556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EFD" w:rsidRPr="00BC0EFD" w:rsidRDefault="00BC0EFD" w:rsidP="00BC0EFD">
      <w:pPr>
        <w:pStyle w:val="a4"/>
        <w:spacing w:before="0" w:beforeAutospacing="0" w:after="0" w:afterAutospacing="0"/>
        <w:ind w:firstLine="567"/>
        <w:jc w:val="both"/>
        <w:rPr>
          <w:color w:val="191813"/>
          <w:sz w:val="28"/>
          <w:szCs w:val="28"/>
          <w:lang w:val="uk-UA"/>
        </w:rPr>
      </w:pPr>
      <w:r w:rsidRPr="00BC0EFD">
        <w:rPr>
          <w:sz w:val="28"/>
          <w:szCs w:val="28"/>
          <w:shd w:val="clear" w:color="auto" w:fill="FFFFFF"/>
          <w:lang w:val="uk-UA"/>
        </w:rPr>
        <w:t xml:space="preserve">Зауваження та пропозиції </w:t>
      </w:r>
      <w:r w:rsidRPr="00BC0EFD">
        <w:rPr>
          <w:sz w:val="28"/>
          <w:szCs w:val="28"/>
          <w:lang w:val="uk-UA"/>
        </w:rPr>
        <w:t xml:space="preserve">по суті питань, що пропонуються до слухання, </w:t>
      </w:r>
      <w:r w:rsidRPr="00BC0EFD">
        <w:rPr>
          <w:sz w:val="28"/>
          <w:szCs w:val="28"/>
          <w:shd w:val="clear" w:color="auto" w:fill="FFFFFF"/>
          <w:lang w:val="uk-UA"/>
        </w:rPr>
        <w:t xml:space="preserve"> від фізичних, юридичних осіб та їхніх об‘єднань приймаються протягом 10  </w:t>
      </w:r>
      <w:r w:rsidRPr="00BC0EFD">
        <w:rPr>
          <w:color w:val="FF0000"/>
          <w:sz w:val="28"/>
          <w:szCs w:val="28"/>
          <w:u w:val="single"/>
          <w:shd w:val="clear" w:color="auto" w:fill="FFFFFF"/>
          <w:lang w:val="uk-UA"/>
        </w:rPr>
        <w:t>днів</w:t>
      </w:r>
      <w:r w:rsidRPr="00BC0EFD">
        <w:rPr>
          <w:sz w:val="28"/>
          <w:szCs w:val="28"/>
          <w:shd w:val="clear" w:color="auto" w:fill="FFFFFF"/>
          <w:lang w:val="uk-UA"/>
        </w:rPr>
        <w:t xml:space="preserve"> з моменту публікації на адресу:</w:t>
      </w:r>
      <w:r w:rsidRPr="00BC0EFD">
        <w:rPr>
          <w:sz w:val="28"/>
          <w:szCs w:val="28"/>
          <w:lang w:val="uk-UA"/>
        </w:rPr>
        <w:t xml:space="preserve"> 02660 МСП, Київ, вул. Гната </w:t>
      </w:r>
      <w:proofErr w:type="spellStart"/>
      <w:r w:rsidRPr="00BC0EFD">
        <w:rPr>
          <w:sz w:val="28"/>
          <w:szCs w:val="28"/>
          <w:lang w:val="uk-UA"/>
        </w:rPr>
        <w:t>Хоткевича</w:t>
      </w:r>
      <w:proofErr w:type="spellEnd"/>
      <w:r w:rsidRPr="00BC0EFD">
        <w:rPr>
          <w:sz w:val="28"/>
          <w:szCs w:val="28"/>
          <w:lang w:val="uk-UA"/>
        </w:rPr>
        <w:t>, 20 або електронною поштою</w:t>
      </w:r>
      <w:r w:rsidRPr="00BC0EFD">
        <w:rPr>
          <w:color w:val="548DD4"/>
          <w:sz w:val="28"/>
          <w:szCs w:val="28"/>
        </w:rPr>
        <w:t> </w:t>
      </w:r>
      <w:r w:rsidRPr="00BC0EFD">
        <w:rPr>
          <w:color w:val="548DD4"/>
          <w:sz w:val="28"/>
          <w:szCs w:val="28"/>
          <w:lang w:val="uk-UA"/>
        </w:rPr>
        <w:t>:</w:t>
      </w:r>
      <w:r w:rsidRPr="00BC0EFD">
        <w:rPr>
          <w:color w:val="548DD4"/>
          <w:sz w:val="28"/>
          <w:szCs w:val="28"/>
        </w:rPr>
        <w:t> </w:t>
      </w:r>
      <w:hyperlink w:history="1">
        <w:r w:rsidRPr="00BC0EFD">
          <w:rPr>
            <w:rStyle w:val="a3"/>
            <w:sz w:val="28"/>
            <w:szCs w:val="28"/>
          </w:rPr>
          <w:t>http</w:t>
        </w:r>
        <w:r w:rsidRPr="00BC0EFD">
          <w:rPr>
            <w:rStyle w:val="a3"/>
            <w:sz w:val="28"/>
            <w:szCs w:val="28"/>
            <w:lang w:val="uk-UA"/>
          </w:rPr>
          <w:t>://</w:t>
        </w:r>
      </w:hyperlink>
      <w:hyperlink r:id="rId8" w:history="1">
        <w:r w:rsidRPr="00BC0EFD">
          <w:rPr>
            <w:rStyle w:val="a3"/>
            <w:sz w:val="28"/>
            <w:szCs w:val="28"/>
          </w:rPr>
          <w:t>darntec</w:t>
        </w:r>
        <w:r w:rsidRPr="00BC0EFD">
          <w:rPr>
            <w:rStyle w:val="a3"/>
            <w:sz w:val="28"/>
            <w:szCs w:val="28"/>
            <w:lang w:val="uk-UA"/>
          </w:rPr>
          <w:t>4@</w:t>
        </w:r>
        <w:r w:rsidRPr="00BC0EFD">
          <w:rPr>
            <w:rStyle w:val="a3"/>
            <w:sz w:val="28"/>
            <w:szCs w:val="28"/>
          </w:rPr>
          <w:t>gmail</w:t>
        </w:r>
        <w:r w:rsidRPr="00BC0EFD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BC0EFD">
          <w:rPr>
            <w:rStyle w:val="a3"/>
            <w:sz w:val="28"/>
            <w:szCs w:val="28"/>
          </w:rPr>
          <w:t>com</w:t>
        </w:r>
        <w:proofErr w:type="spellEnd"/>
      </w:hyperlink>
      <w:r w:rsidRPr="00BC0EFD">
        <w:rPr>
          <w:color w:val="191813"/>
          <w:sz w:val="28"/>
          <w:szCs w:val="28"/>
          <w:lang w:val="uk-UA"/>
        </w:rPr>
        <w:t xml:space="preserve">       </w:t>
      </w:r>
    </w:p>
    <w:p w:rsidR="00A033AA" w:rsidRPr="00BC0EFD" w:rsidRDefault="00BC0EFD" w:rsidP="00BC0EF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C0EFD">
        <w:rPr>
          <w:color w:val="191813"/>
          <w:sz w:val="28"/>
          <w:szCs w:val="28"/>
          <w:lang w:val="uk-UA"/>
        </w:rPr>
        <w:t xml:space="preserve">           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</w:t>
      </w:r>
      <w:proofErr w:type="spellStart"/>
      <w:r w:rsidRPr="00BC0EFD">
        <w:rPr>
          <w:color w:val="191813"/>
          <w:sz w:val="28"/>
          <w:szCs w:val="28"/>
          <w:lang w:val="uk-UA"/>
        </w:rPr>
        <w:t>зворотнього</w:t>
      </w:r>
      <w:proofErr w:type="spellEnd"/>
      <w:r w:rsidRPr="00BC0EFD">
        <w:rPr>
          <w:color w:val="191813"/>
          <w:sz w:val="28"/>
          <w:szCs w:val="28"/>
          <w:lang w:val="uk-UA"/>
        </w:rPr>
        <w:t xml:space="preserve"> зв’язку.  </w:t>
      </w:r>
    </w:p>
    <w:p w:rsidR="00BC0EFD" w:rsidRPr="00A033AA" w:rsidRDefault="00A033AA" w:rsidP="00BC0EF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7711C3">
        <w:rPr>
          <w:sz w:val="28"/>
          <w:szCs w:val="28"/>
          <w:lang w:val="uk-UA"/>
        </w:rPr>
        <w:t xml:space="preserve"> </w:t>
      </w:r>
    </w:p>
    <w:p w:rsidR="00CE1092" w:rsidRPr="00FB2F93" w:rsidRDefault="00CE1092" w:rsidP="00A0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1092" w:rsidRPr="00FB2F93" w:rsidSect="00C36067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B5" w:rsidRDefault="00FA6CB5" w:rsidP="00C36067">
      <w:pPr>
        <w:spacing w:after="0" w:line="240" w:lineRule="auto"/>
      </w:pPr>
      <w:r>
        <w:separator/>
      </w:r>
    </w:p>
  </w:endnote>
  <w:endnote w:type="continuationSeparator" w:id="0">
    <w:p w:rsidR="00FA6CB5" w:rsidRDefault="00FA6CB5" w:rsidP="00C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002"/>
      <w:docPartObj>
        <w:docPartGallery w:val="Page Numbers (Bottom of Page)"/>
        <w:docPartUnique/>
      </w:docPartObj>
    </w:sdtPr>
    <w:sdtEndPr/>
    <w:sdtContent>
      <w:p w:rsidR="00D47635" w:rsidRDefault="002718DE">
        <w:pPr>
          <w:pStyle w:val="a7"/>
          <w:jc w:val="right"/>
        </w:pPr>
        <w:r>
          <w:fldChar w:fldCharType="begin"/>
        </w:r>
        <w:r w:rsidR="00D47635">
          <w:instrText xml:space="preserve"> PAGE   \* MERGEFORMAT </w:instrText>
        </w:r>
        <w:r>
          <w:fldChar w:fldCharType="separate"/>
        </w:r>
        <w:r w:rsidR="00336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635" w:rsidRDefault="00D476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B5" w:rsidRDefault="00FA6CB5" w:rsidP="00C36067">
      <w:pPr>
        <w:spacing w:after="0" w:line="240" w:lineRule="auto"/>
      </w:pPr>
      <w:r>
        <w:separator/>
      </w:r>
    </w:p>
  </w:footnote>
  <w:footnote w:type="continuationSeparator" w:id="0">
    <w:p w:rsidR="00FA6CB5" w:rsidRDefault="00FA6CB5" w:rsidP="00C3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ADB"/>
    <w:multiLevelType w:val="hybridMultilevel"/>
    <w:tmpl w:val="47447608"/>
    <w:lvl w:ilvl="0" w:tplc="81A8740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043359"/>
    <w:multiLevelType w:val="hybridMultilevel"/>
    <w:tmpl w:val="9A342A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11316D8"/>
    <w:multiLevelType w:val="hybridMultilevel"/>
    <w:tmpl w:val="8252189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6727AB9"/>
    <w:multiLevelType w:val="hybridMultilevel"/>
    <w:tmpl w:val="28A81BC0"/>
    <w:lvl w:ilvl="0" w:tplc="3A121D9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7193B76"/>
    <w:multiLevelType w:val="hybridMultilevel"/>
    <w:tmpl w:val="C72C867E"/>
    <w:lvl w:ilvl="0" w:tplc="B6A8D4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4F"/>
    <w:rsid w:val="00024051"/>
    <w:rsid w:val="00025B33"/>
    <w:rsid w:val="00080B26"/>
    <w:rsid w:val="000913E2"/>
    <w:rsid w:val="000A5833"/>
    <w:rsid w:val="000B5F8A"/>
    <w:rsid w:val="001235FB"/>
    <w:rsid w:val="00130F11"/>
    <w:rsid w:val="001C2FB5"/>
    <w:rsid w:val="001E4EDA"/>
    <w:rsid w:val="001F4420"/>
    <w:rsid w:val="0025055E"/>
    <w:rsid w:val="00270587"/>
    <w:rsid w:val="002718DE"/>
    <w:rsid w:val="0027711E"/>
    <w:rsid w:val="0033688B"/>
    <w:rsid w:val="00362EC3"/>
    <w:rsid w:val="003D0C81"/>
    <w:rsid w:val="003E1D6B"/>
    <w:rsid w:val="003E6FCE"/>
    <w:rsid w:val="004374F7"/>
    <w:rsid w:val="004862B9"/>
    <w:rsid w:val="00523E11"/>
    <w:rsid w:val="005558CC"/>
    <w:rsid w:val="0059212B"/>
    <w:rsid w:val="005B1FC6"/>
    <w:rsid w:val="005E3F87"/>
    <w:rsid w:val="005F4496"/>
    <w:rsid w:val="005F7134"/>
    <w:rsid w:val="00634677"/>
    <w:rsid w:val="00640524"/>
    <w:rsid w:val="006556AC"/>
    <w:rsid w:val="00674176"/>
    <w:rsid w:val="00683749"/>
    <w:rsid w:val="0068654E"/>
    <w:rsid w:val="00697498"/>
    <w:rsid w:val="007206D3"/>
    <w:rsid w:val="0074565D"/>
    <w:rsid w:val="00745E78"/>
    <w:rsid w:val="00766680"/>
    <w:rsid w:val="007A5752"/>
    <w:rsid w:val="007D0D42"/>
    <w:rsid w:val="007F07C2"/>
    <w:rsid w:val="00800C68"/>
    <w:rsid w:val="00805CCB"/>
    <w:rsid w:val="00806BE2"/>
    <w:rsid w:val="00813E77"/>
    <w:rsid w:val="0083684F"/>
    <w:rsid w:val="008572D9"/>
    <w:rsid w:val="0086359B"/>
    <w:rsid w:val="008A0494"/>
    <w:rsid w:val="008C6DED"/>
    <w:rsid w:val="008D32BB"/>
    <w:rsid w:val="008D518C"/>
    <w:rsid w:val="008D70D5"/>
    <w:rsid w:val="00905ACF"/>
    <w:rsid w:val="009107AB"/>
    <w:rsid w:val="00913290"/>
    <w:rsid w:val="0094132E"/>
    <w:rsid w:val="0097514F"/>
    <w:rsid w:val="009D7A6C"/>
    <w:rsid w:val="00A033AA"/>
    <w:rsid w:val="00A159A3"/>
    <w:rsid w:val="00B2480D"/>
    <w:rsid w:val="00BA6CCF"/>
    <w:rsid w:val="00BC0EFD"/>
    <w:rsid w:val="00BC3DD6"/>
    <w:rsid w:val="00BF196E"/>
    <w:rsid w:val="00C207C6"/>
    <w:rsid w:val="00C36067"/>
    <w:rsid w:val="00C762DA"/>
    <w:rsid w:val="00CD5568"/>
    <w:rsid w:val="00CE1092"/>
    <w:rsid w:val="00D133D8"/>
    <w:rsid w:val="00D34743"/>
    <w:rsid w:val="00D37D99"/>
    <w:rsid w:val="00D47635"/>
    <w:rsid w:val="00D47C56"/>
    <w:rsid w:val="00D5087A"/>
    <w:rsid w:val="00D54434"/>
    <w:rsid w:val="00D61E72"/>
    <w:rsid w:val="00DA63AA"/>
    <w:rsid w:val="00DB5F8D"/>
    <w:rsid w:val="00DB70E1"/>
    <w:rsid w:val="00DE71E7"/>
    <w:rsid w:val="00E01C3A"/>
    <w:rsid w:val="00E02632"/>
    <w:rsid w:val="00E340A1"/>
    <w:rsid w:val="00E36DA4"/>
    <w:rsid w:val="00E42E4E"/>
    <w:rsid w:val="00E97243"/>
    <w:rsid w:val="00EA4202"/>
    <w:rsid w:val="00EF2F84"/>
    <w:rsid w:val="00FA6CB5"/>
    <w:rsid w:val="00FB2F93"/>
    <w:rsid w:val="00FC0C4C"/>
    <w:rsid w:val="00FC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7058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0587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2705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3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067"/>
  </w:style>
  <w:style w:type="paragraph" w:styleId="a7">
    <w:name w:val="footer"/>
    <w:basedOn w:val="a"/>
    <w:link w:val="a8"/>
    <w:uiPriority w:val="99"/>
    <w:unhideWhenUsed/>
    <w:rsid w:val="00C3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067"/>
  </w:style>
  <w:style w:type="paragraph" w:styleId="a9">
    <w:name w:val="List Paragraph"/>
    <w:basedOn w:val="a"/>
    <w:uiPriority w:val="34"/>
    <w:qFormat/>
    <w:rsid w:val="0027711E"/>
    <w:pPr>
      <w:ind w:left="720"/>
      <w:contextualSpacing/>
    </w:pPr>
  </w:style>
  <w:style w:type="paragraph" w:styleId="aa">
    <w:name w:val="Title"/>
    <w:basedOn w:val="a"/>
    <w:link w:val="ab"/>
    <w:qFormat/>
    <w:rsid w:val="00E01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b">
    <w:name w:val="Название Знак"/>
    <w:basedOn w:val="a0"/>
    <w:link w:val="aa"/>
    <w:rsid w:val="00E01C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rvts40">
    <w:name w:val="rvts40"/>
    <w:rsid w:val="00C762DA"/>
  </w:style>
  <w:style w:type="paragraph" w:styleId="ac">
    <w:name w:val="Balloon Text"/>
    <w:basedOn w:val="a"/>
    <w:link w:val="ad"/>
    <w:uiPriority w:val="99"/>
    <w:semiHidden/>
    <w:unhideWhenUsed/>
    <w:rsid w:val="00DB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7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7058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0587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2705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3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067"/>
  </w:style>
  <w:style w:type="paragraph" w:styleId="a7">
    <w:name w:val="footer"/>
    <w:basedOn w:val="a"/>
    <w:link w:val="a8"/>
    <w:uiPriority w:val="99"/>
    <w:unhideWhenUsed/>
    <w:rsid w:val="00C3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067"/>
  </w:style>
  <w:style w:type="paragraph" w:styleId="a9">
    <w:name w:val="List Paragraph"/>
    <w:basedOn w:val="a"/>
    <w:uiPriority w:val="34"/>
    <w:qFormat/>
    <w:rsid w:val="0027711E"/>
    <w:pPr>
      <w:ind w:left="720"/>
      <w:contextualSpacing/>
    </w:pPr>
  </w:style>
  <w:style w:type="paragraph" w:styleId="aa">
    <w:name w:val="Title"/>
    <w:basedOn w:val="a"/>
    <w:link w:val="ab"/>
    <w:qFormat/>
    <w:rsid w:val="00E01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b">
    <w:name w:val="Название Знак"/>
    <w:basedOn w:val="a0"/>
    <w:link w:val="aa"/>
    <w:rsid w:val="00E01C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rvts40">
    <w:name w:val="rvts40"/>
    <w:rsid w:val="00C762DA"/>
  </w:style>
  <w:style w:type="paragraph" w:styleId="ac">
    <w:name w:val="Balloon Text"/>
    <w:basedOn w:val="a"/>
    <w:link w:val="ad"/>
    <w:uiPriority w:val="99"/>
    <w:semiHidden/>
    <w:unhideWhenUsed/>
    <w:rsid w:val="00DB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ntec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Nach_PO</cp:lastModifiedBy>
  <cp:revision>9</cp:revision>
  <cp:lastPrinted>2019-03-04T06:16:00Z</cp:lastPrinted>
  <dcterms:created xsi:type="dcterms:W3CDTF">2019-10-21T11:07:00Z</dcterms:created>
  <dcterms:modified xsi:type="dcterms:W3CDTF">2019-10-21T16:21:00Z</dcterms:modified>
</cp:coreProperties>
</file>